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67" w:rsidRDefault="00021B67" w:rsidP="005966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Post-Secondary Education and Labour Market Outcomes</w:t>
      </w:r>
    </w:p>
    <w:p w:rsidR="00F97B62" w:rsidRPr="005966D9" w:rsidRDefault="005966D9" w:rsidP="005966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="00F97B62" w:rsidRPr="005966D9">
        <w:rPr>
          <w:rFonts w:ascii="Arial" w:hAnsi="Arial" w:cs="Arial"/>
          <w:b/>
          <w:sz w:val="24"/>
          <w:szCs w:val="24"/>
        </w:rPr>
        <w:t xml:space="preserve">Program </w:t>
      </w:r>
      <w:r>
        <w:rPr>
          <w:rFonts w:ascii="Arial" w:hAnsi="Arial" w:cs="Arial"/>
          <w:b/>
          <w:sz w:val="24"/>
          <w:szCs w:val="24"/>
        </w:rPr>
        <w:t>Approval Process</w:t>
      </w:r>
    </w:p>
    <w:p w:rsidR="00F97B62" w:rsidRPr="00F97B62" w:rsidRDefault="00F97B62" w:rsidP="00F97B62">
      <w:pPr>
        <w:pStyle w:val="NoSpacing"/>
        <w:rPr>
          <w:rFonts w:ascii="Arial" w:hAnsi="Arial" w:cs="Arial"/>
          <w:sz w:val="24"/>
          <w:szCs w:val="24"/>
        </w:rPr>
      </w:pPr>
    </w:p>
    <w:p w:rsidR="0085257F" w:rsidRPr="004F635B" w:rsidRDefault="00F97B62" w:rsidP="00A52010">
      <w:pPr>
        <w:pStyle w:val="NoSpacing"/>
        <w:rPr>
          <w:rFonts w:ascii="Arial" w:hAnsi="Arial" w:cs="Arial"/>
          <w:sz w:val="24"/>
          <w:szCs w:val="24"/>
        </w:rPr>
      </w:pPr>
      <w:r w:rsidRPr="004F635B">
        <w:rPr>
          <w:rFonts w:ascii="Arial" w:hAnsi="Arial" w:cs="Arial"/>
          <w:sz w:val="24"/>
          <w:szCs w:val="24"/>
        </w:rPr>
        <w:t>Program approval is an important aspect of government’s oversight of the post-secondary education system, with a view to system coordination and quality assurance.</w:t>
      </w:r>
      <w:r w:rsidR="00A52010">
        <w:rPr>
          <w:rFonts w:ascii="Arial" w:hAnsi="Arial" w:cs="Arial"/>
          <w:sz w:val="24"/>
          <w:szCs w:val="24"/>
        </w:rPr>
        <w:t xml:space="preserve">  </w:t>
      </w:r>
      <w:r w:rsidRPr="004F635B">
        <w:rPr>
          <w:rFonts w:ascii="Arial" w:hAnsi="Arial" w:cs="Arial"/>
          <w:sz w:val="24"/>
          <w:szCs w:val="24"/>
        </w:rPr>
        <w:t xml:space="preserve">Manitoba’s Programs of Study Regulation was registered and took effect </w:t>
      </w:r>
      <w:r w:rsidR="00A52010">
        <w:rPr>
          <w:rFonts w:ascii="Arial" w:hAnsi="Arial" w:cs="Arial"/>
          <w:sz w:val="24"/>
          <w:szCs w:val="24"/>
        </w:rPr>
        <w:t xml:space="preserve">on August 13, 2015, establishing </w:t>
      </w:r>
      <w:r w:rsidRPr="004F635B">
        <w:rPr>
          <w:rFonts w:ascii="Arial" w:hAnsi="Arial" w:cs="Arial"/>
          <w:sz w:val="24"/>
          <w:szCs w:val="24"/>
        </w:rPr>
        <w:t>the proce</w:t>
      </w:r>
      <w:r w:rsidR="00A52010">
        <w:rPr>
          <w:rFonts w:ascii="Arial" w:hAnsi="Arial" w:cs="Arial"/>
          <w:sz w:val="24"/>
          <w:szCs w:val="24"/>
        </w:rPr>
        <w:t xml:space="preserve">ss by which the department </w:t>
      </w:r>
      <w:r w:rsidRPr="004F635B">
        <w:rPr>
          <w:rFonts w:ascii="Arial" w:hAnsi="Arial" w:cs="Arial"/>
          <w:sz w:val="24"/>
          <w:szCs w:val="24"/>
        </w:rPr>
        <w:t>consider</w:t>
      </w:r>
      <w:r w:rsidR="00A52010">
        <w:rPr>
          <w:rFonts w:ascii="Arial" w:hAnsi="Arial" w:cs="Arial"/>
          <w:sz w:val="24"/>
          <w:szCs w:val="24"/>
        </w:rPr>
        <w:t>s</w:t>
      </w:r>
      <w:r w:rsidRPr="004F635B">
        <w:rPr>
          <w:rFonts w:ascii="Arial" w:hAnsi="Arial" w:cs="Arial"/>
          <w:sz w:val="24"/>
          <w:szCs w:val="24"/>
        </w:rPr>
        <w:t xml:space="preserve"> </w:t>
      </w:r>
      <w:r w:rsidR="0085257F" w:rsidRPr="004F635B">
        <w:rPr>
          <w:rFonts w:ascii="Arial" w:hAnsi="Arial" w:cs="Arial"/>
          <w:sz w:val="24"/>
          <w:szCs w:val="24"/>
        </w:rPr>
        <w:t xml:space="preserve">new program, significant modification and cessation </w:t>
      </w:r>
      <w:r w:rsidRPr="004F635B">
        <w:rPr>
          <w:rFonts w:ascii="Arial" w:hAnsi="Arial" w:cs="Arial"/>
          <w:sz w:val="24"/>
          <w:szCs w:val="24"/>
        </w:rPr>
        <w:t>proposals submitted by universities and colleges for approval.</w:t>
      </w:r>
      <w:r w:rsidR="0085257F" w:rsidRPr="004F635B">
        <w:rPr>
          <w:rFonts w:ascii="Arial" w:hAnsi="Arial" w:cs="Arial"/>
          <w:sz w:val="24"/>
          <w:szCs w:val="24"/>
        </w:rPr>
        <w:t xml:space="preserve">  </w:t>
      </w:r>
    </w:p>
    <w:p w:rsidR="00A52010" w:rsidRPr="004F635B" w:rsidRDefault="00A52010">
      <w:pPr>
        <w:rPr>
          <w:rFonts w:ascii="Arial" w:hAnsi="Arial" w:cs="Arial"/>
          <w:sz w:val="24"/>
          <w:szCs w:val="24"/>
        </w:rPr>
      </w:pPr>
    </w:p>
    <w:p w:rsidR="00A52010" w:rsidRDefault="00A52010">
      <w:pPr>
        <w:rPr>
          <w:rFonts w:ascii="Arial" w:hAnsi="Arial" w:cs="Arial"/>
          <w:b/>
          <w:sz w:val="24"/>
          <w:szCs w:val="24"/>
        </w:rPr>
      </w:pPr>
    </w:p>
    <w:p w:rsidR="00387CF3" w:rsidRPr="004F635B" w:rsidRDefault="00F625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When S</w:t>
      </w:r>
      <w:r w:rsidR="00387CF3" w:rsidRPr="004F635B">
        <w:rPr>
          <w:rFonts w:ascii="Arial" w:hAnsi="Arial" w:cs="Arial"/>
          <w:b/>
          <w:sz w:val="24"/>
          <w:szCs w:val="24"/>
        </w:rPr>
        <w:t xml:space="preserve">ubmission </w:t>
      </w:r>
      <w:r>
        <w:rPr>
          <w:rFonts w:ascii="Arial" w:hAnsi="Arial" w:cs="Arial"/>
          <w:b/>
          <w:sz w:val="24"/>
          <w:szCs w:val="24"/>
        </w:rPr>
        <w:t>I</w:t>
      </w:r>
      <w:r w:rsidR="00387CF3" w:rsidRPr="004F635B">
        <w:rPr>
          <w:rFonts w:ascii="Arial" w:hAnsi="Arial" w:cs="Arial"/>
          <w:b/>
          <w:sz w:val="24"/>
          <w:szCs w:val="24"/>
        </w:rPr>
        <w:t xml:space="preserve">s </w:t>
      </w:r>
      <w:r>
        <w:rPr>
          <w:rFonts w:ascii="Arial" w:hAnsi="Arial" w:cs="Arial"/>
          <w:b/>
          <w:sz w:val="24"/>
          <w:szCs w:val="24"/>
        </w:rPr>
        <w:t>R</w:t>
      </w:r>
      <w:r w:rsidR="00387CF3" w:rsidRPr="004F635B">
        <w:rPr>
          <w:rFonts w:ascii="Arial" w:hAnsi="Arial" w:cs="Arial"/>
          <w:b/>
          <w:sz w:val="24"/>
          <w:szCs w:val="24"/>
        </w:rPr>
        <w:t>equired</w:t>
      </w:r>
    </w:p>
    <w:p w:rsidR="0006064A" w:rsidRPr="004F635B" w:rsidRDefault="0006064A" w:rsidP="000606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F635B">
        <w:rPr>
          <w:rFonts w:ascii="Arial" w:hAnsi="Arial" w:cs="Arial"/>
          <w:bCs/>
          <w:sz w:val="24"/>
          <w:szCs w:val="24"/>
        </w:rPr>
        <w:t>A uni</w:t>
      </w:r>
      <w:r w:rsidR="00387CF3" w:rsidRPr="004F635B">
        <w:rPr>
          <w:rFonts w:ascii="Arial" w:hAnsi="Arial" w:cs="Arial"/>
          <w:bCs/>
          <w:sz w:val="24"/>
          <w:szCs w:val="24"/>
        </w:rPr>
        <w:t>versity</w:t>
      </w:r>
      <w:r w:rsidRPr="004F635B">
        <w:rPr>
          <w:rFonts w:ascii="Arial" w:hAnsi="Arial" w:cs="Arial"/>
          <w:bCs/>
          <w:sz w:val="24"/>
          <w:szCs w:val="24"/>
        </w:rPr>
        <w:t xml:space="preserve"> or college must complete and submit the proper form when </w:t>
      </w:r>
      <w:r w:rsidRPr="004F635B">
        <w:rPr>
          <w:rFonts w:ascii="Arial" w:hAnsi="Arial" w:cs="Arial"/>
          <w:sz w:val="24"/>
          <w:szCs w:val="24"/>
        </w:rPr>
        <w:t>establishing, making a significant modification to or</w:t>
      </w:r>
      <w:r w:rsidRPr="004F635B">
        <w:rPr>
          <w:rFonts w:ascii="Arial" w:hAnsi="Arial" w:cs="Arial"/>
          <w:bCs/>
          <w:sz w:val="24"/>
          <w:szCs w:val="24"/>
        </w:rPr>
        <w:t xml:space="preserve"> </w:t>
      </w:r>
      <w:r w:rsidRPr="004F635B">
        <w:rPr>
          <w:rFonts w:ascii="Arial" w:hAnsi="Arial" w:cs="Arial"/>
          <w:sz w:val="24"/>
          <w:szCs w:val="24"/>
        </w:rPr>
        <w:t>ceasing (temporarily or permanently) a program of study.</w:t>
      </w:r>
      <w:r w:rsidRPr="004F635B">
        <w:rPr>
          <w:rFonts w:ascii="Arial" w:hAnsi="Arial" w:cs="Arial"/>
          <w:bCs/>
          <w:sz w:val="24"/>
          <w:szCs w:val="24"/>
        </w:rPr>
        <w:t xml:space="preserve">  All </w:t>
      </w:r>
      <w:r w:rsidRPr="004F635B">
        <w:rPr>
          <w:rFonts w:ascii="Arial" w:hAnsi="Arial" w:cs="Arial"/>
          <w:sz w:val="24"/>
          <w:szCs w:val="24"/>
        </w:rPr>
        <w:t>proposals must be submitted at least 120 days before the university or college intends to make the change, unless the minister agrees t</w:t>
      </w:r>
      <w:r w:rsidR="00A52010">
        <w:rPr>
          <w:rFonts w:ascii="Arial" w:hAnsi="Arial" w:cs="Arial"/>
          <w:sz w:val="24"/>
          <w:szCs w:val="24"/>
        </w:rPr>
        <w:t>o accept the proposal at a later date</w:t>
      </w:r>
      <w:r w:rsidRPr="004F635B">
        <w:rPr>
          <w:rFonts w:ascii="Arial" w:hAnsi="Arial" w:cs="Arial"/>
          <w:sz w:val="24"/>
          <w:szCs w:val="24"/>
        </w:rPr>
        <w:t>.</w:t>
      </w:r>
    </w:p>
    <w:p w:rsidR="00A52010" w:rsidRPr="004F635B" w:rsidRDefault="00A52010" w:rsidP="000606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52010" w:rsidRDefault="00A52010" w:rsidP="008369E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369E3" w:rsidRPr="004F635B" w:rsidRDefault="008369E3" w:rsidP="008369E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4F635B">
        <w:rPr>
          <w:rFonts w:ascii="Arial" w:hAnsi="Arial" w:cs="Arial"/>
          <w:b/>
          <w:bCs/>
          <w:sz w:val="24"/>
          <w:szCs w:val="24"/>
          <w:lang w:eastAsia="en-US"/>
        </w:rPr>
        <w:t>Exclusions</w:t>
      </w:r>
    </w:p>
    <w:p w:rsidR="008369E3" w:rsidRPr="004F635B" w:rsidRDefault="008369E3" w:rsidP="008369E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en-US"/>
        </w:rPr>
      </w:pPr>
      <w:r w:rsidRPr="004F635B">
        <w:rPr>
          <w:rFonts w:ascii="Arial" w:hAnsi="Arial" w:cs="Arial"/>
          <w:bCs/>
          <w:sz w:val="24"/>
          <w:szCs w:val="24"/>
          <w:lang w:eastAsia="en-US"/>
        </w:rPr>
        <w:t xml:space="preserve">A university or college is not required to </w:t>
      </w:r>
      <w:r w:rsidR="00387CF3" w:rsidRPr="004F635B">
        <w:rPr>
          <w:rFonts w:ascii="Arial" w:hAnsi="Arial" w:cs="Arial"/>
          <w:bCs/>
          <w:sz w:val="24"/>
          <w:szCs w:val="24"/>
          <w:lang w:eastAsia="en-US"/>
        </w:rPr>
        <w:t xml:space="preserve">submit a program proposal for approval </w:t>
      </w:r>
      <w:r w:rsidRPr="004F635B">
        <w:rPr>
          <w:rFonts w:ascii="Arial" w:hAnsi="Arial" w:cs="Arial"/>
          <w:sz w:val="24"/>
          <w:szCs w:val="24"/>
          <w:lang w:eastAsia="en-US"/>
        </w:rPr>
        <w:t>if</w:t>
      </w:r>
    </w:p>
    <w:p w:rsidR="00387CF3" w:rsidRPr="004F635B" w:rsidRDefault="008369E3" w:rsidP="008369E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US"/>
        </w:rPr>
      </w:pPr>
      <w:r w:rsidRPr="004F635B">
        <w:rPr>
          <w:rFonts w:ascii="Arial" w:hAnsi="Arial" w:cs="Arial"/>
          <w:sz w:val="24"/>
          <w:szCs w:val="24"/>
          <w:lang w:eastAsia="en-US"/>
        </w:rPr>
        <w:t>the program will be, or was, established</w:t>
      </w:r>
      <w:r w:rsidR="00387CF3" w:rsidRPr="004F635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F635B">
        <w:rPr>
          <w:rFonts w:ascii="Arial" w:hAnsi="Arial" w:cs="Arial"/>
          <w:sz w:val="24"/>
          <w:szCs w:val="24"/>
          <w:lang w:eastAsia="en-US"/>
        </w:rPr>
        <w:t>and</w:t>
      </w:r>
      <w:r w:rsidR="00387CF3" w:rsidRPr="004F635B">
        <w:rPr>
          <w:rFonts w:ascii="Arial" w:hAnsi="Arial" w:cs="Arial"/>
          <w:sz w:val="24"/>
          <w:szCs w:val="24"/>
          <w:lang w:eastAsia="en-US"/>
        </w:rPr>
        <w:t xml:space="preserve"> provided under an agreement or </w:t>
      </w:r>
      <w:r w:rsidRPr="004F635B">
        <w:rPr>
          <w:rFonts w:ascii="Arial" w:hAnsi="Arial" w:cs="Arial"/>
          <w:sz w:val="24"/>
          <w:szCs w:val="24"/>
          <w:lang w:eastAsia="en-US"/>
        </w:rPr>
        <w:t>arrangement</w:t>
      </w:r>
      <w:r w:rsidR="00387CF3" w:rsidRPr="004F635B">
        <w:rPr>
          <w:rFonts w:ascii="Arial" w:hAnsi="Arial" w:cs="Arial"/>
          <w:sz w:val="24"/>
          <w:szCs w:val="24"/>
          <w:lang w:eastAsia="en-US"/>
        </w:rPr>
        <w:t xml:space="preserve"> that the university or college </w:t>
      </w:r>
      <w:r w:rsidRPr="004F635B">
        <w:rPr>
          <w:rFonts w:ascii="Arial" w:hAnsi="Arial" w:cs="Arial"/>
          <w:sz w:val="24"/>
          <w:szCs w:val="24"/>
          <w:lang w:eastAsia="en-US"/>
        </w:rPr>
        <w:t>entered into with another person or entity,</w:t>
      </w:r>
    </w:p>
    <w:p w:rsidR="00387CF3" w:rsidRPr="004F635B" w:rsidRDefault="008369E3" w:rsidP="008369E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US"/>
        </w:rPr>
      </w:pPr>
      <w:r w:rsidRPr="004F635B">
        <w:rPr>
          <w:rFonts w:ascii="Arial" w:hAnsi="Arial" w:cs="Arial"/>
          <w:sz w:val="24"/>
          <w:szCs w:val="24"/>
          <w:lang w:eastAsia="en-US"/>
        </w:rPr>
        <w:t>the program does not, or did not, lead to</w:t>
      </w:r>
      <w:r w:rsidR="00387CF3" w:rsidRPr="004F635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F635B">
        <w:rPr>
          <w:rFonts w:ascii="Arial" w:hAnsi="Arial" w:cs="Arial"/>
          <w:sz w:val="24"/>
          <w:szCs w:val="24"/>
          <w:lang w:eastAsia="en-US"/>
        </w:rPr>
        <w:t xml:space="preserve">the granting of a degree, </w:t>
      </w:r>
      <w:r w:rsidR="009E1911">
        <w:rPr>
          <w:rFonts w:ascii="Arial" w:hAnsi="Arial" w:cs="Arial"/>
          <w:sz w:val="24"/>
          <w:szCs w:val="24"/>
          <w:lang w:eastAsia="en-US"/>
        </w:rPr>
        <w:t>or</w:t>
      </w:r>
    </w:p>
    <w:p w:rsidR="00387CF3" w:rsidRPr="004F635B" w:rsidRDefault="008369E3" w:rsidP="008369E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US"/>
        </w:rPr>
      </w:pPr>
      <w:r w:rsidRPr="004F635B">
        <w:rPr>
          <w:rFonts w:ascii="Arial" w:hAnsi="Arial" w:cs="Arial"/>
          <w:sz w:val="24"/>
          <w:szCs w:val="24"/>
          <w:lang w:eastAsia="en-US"/>
        </w:rPr>
        <w:t>the direct costs incurred by the</w:t>
      </w:r>
      <w:r w:rsidR="00387CF3" w:rsidRPr="004F635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F635B">
        <w:rPr>
          <w:rFonts w:ascii="Arial" w:hAnsi="Arial" w:cs="Arial"/>
          <w:sz w:val="24"/>
          <w:szCs w:val="24"/>
          <w:lang w:eastAsia="en-US"/>
        </w:rPr>
        <w:t>university or college in the delivery of the</w:t>
      </w:r>
      <w:r w:rsidR="00387CF3" w:rsidRPr="004F635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F635B">
        <w:rPr>
          <w:rFonts w:ascii="Arial" w:hAnsi="Arial" w:cs="Arial"/>
          <w:sz w:val="24"/>
          <w:szCs w:val="24"/>
          <w:lang w:eastAsia="en-US"/>
        </w:rPr>
        <w:t>program will not</w:t>
      </w:r>
      <w:r w:rsidR="00D915EB">
        <w:rPr>
          <w:rFonts w:ascii="Arial" w:hAnsi="Arial" w:cs="Arial"/>
          <w:sz w:val="24"/>
          <w:szCs w:val="24"/>
          <w:lang w:eastAsia="en-US"/>
        </w:rPr>
        <w:t xml:space="preserve"> be</w:t>
      </w:r>
      <w:r w:rsidRPr="004F635B">
        <w:rPr>
          <w:rFonts w:ascii="Arial" w:hAnsi="Arial" w:cs="Arial"/>
          <w:sz w:val="24"/>
          <w:szCs w:val="24"/>
          <w:lang w:eastAsia="en-US"/>
        </w:rPr>
        <w:t>, or has not been, paid for</w:t>
      </w:r>
      <w:r w:rsidR="00387CF3" w:rsidRPr="004F635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F635B">
        <w:rPr>
          <w:rFonts w:ascii="Arial" w:hAnsi="Arial" w:cs="Arial"/>
          <w:sz w:val="24"/>
          <w:szCs w:val="24"/>
          <w:lang w:eastAsia="en-US"/>
        </w:rPr>
        <w:t>using money granted to the university or</w:t>
      </w:r>
      <w:r w:rsidR="00387CF3" w:rsidRPr="004F635B">
        <w:rPr>
          <w:rFonts w:ascii="Arial" w:hAnsi="Arial" w:cs="Arial"/>
          <w:sz w:val="24"/>
          <w:szCs w:val="24"/>
          <w:lang w:eastAsia="en-US"/>
        </w:rPr>
        <w:t xml:space="preserve"> college </w:t>
      </w:r>
      <w:r w:rsidR="005966D9" w:rsidRPr="004F635B">
        <w:rPr>
          <w:rFonts w:ascii="Arial" w:hAnsi="Arial" w:cs="Arial"/>
          <w:sz w:val="24"/>
          <w:szCs w:val="24"/>
          <w:lang w:eastAsia="en-US"/>
        </w:rPr>
        <w:t xml:space="preserve">by the Government of Manitoba </w:t>
      </w:r>
      <w:r w:rsidR="00387CF3" w:rsidRPr="004F635B">
        <w:rPr>
          <w:rFonts w:ascii="Arial" w:hAnsi="Arial" w:cs="Arial"/>
          <w:sz w:val="24"/>
          <w:szCs w:val="24"/>
          <w:lang w:eastAsia="en-US"/>
        </w:rPr>
        <w:t xml:space="preserve">under section 9.1 of </w:t>
      </w:r>
      <w:r w:rsidR="00387CF3" w:rsidRPr="004F635B">
        <w:rPr>
          <w:rFonts w:ascii="Arial" w:hAnsi="Arial" w:cs="Arial"/>
          <w:i/>
          <w:sz w:val="24"/>
          <w:szCs w:val="24"/>
          <w:lang w:eastAsia="en-US"/>
        </w:rPr>
        <w:t>T</w:t>
      </w:r>
      <w:r w:rsidRPr="004F635B">
        <w:rPr>
          <w:rFonts w:ascii="Arial" w:hAnsi="Arial" w:cs="Arial"/>
          <w:i/>
          <w:sz w:val="24"/>
          <w:szCs w:val="24"/>
          <w:lang w:eastAsia="en-US"/>
        </w:rPr>
        <w:t xml:space="preserve">he </w:t>
      </w:r>
      <w:r w:rsidR="00387CF3" w:rsidRPr="004F635B">
        <w:rPr>
          <w:rFonts w:ascii="Arial" w:hAnsi="Arial" w:cs="Arial"/>
          <w:i/>
          <w:sz w:val="24"/>
          <w:szCs w:val="24"/>
          <w:lang w:eastAsia="en-US"/>
        </w:rPr>
        <w:t xml:space="preserve">Education Administration </w:t>
      </w:r>
      <w:r w:rsidRPr="004F635B">
        <w:rPr>
          <w:rFonts w:ascii="Arial" w:hAnsi="Arial" w:cs="Arial"/>
          <w:i/>
          <w:sz w:val="24"/>
          <w:szCs w:val="24"/>
          <w:lang w:eastAsia="en-US"/>
        </w:rPr>
        <w:t>Act</w:t>
      </w:r>
      <w:r w:rsidR="005966D9" w:rsidRPr="004F635B">
        <w:rPr>
          <w:rFonts w:ascii="Arial" w:hAnsi="Arial" w:cs="Arial"/>
          <w:sz w:val="24"/>
          <w:szCs w:val="24"/>
          <w:lang w:eastAsia="en-US"/>
        </w:rPr>
        <w:t>.</w:t>
      </w:r>
    </w:p>
    <w:p w:rsidR="0006064A" w:rsidRPr="004F635B" w:rsidRDefault="0006064A">
      <w:pPr>
        <w:rPr>
          <w:rFonts w:ascii="Arial" w:hAnsi="Arial" w:cs="Arial"/>
          <w:sz w:val="24"/>
          <w:szCs w:val="24"/>
        </w:rPr>
      </w:pPr>
    </w:p>
    <w:p w:rsidR="00A52010" w:rsidRDefault="00BB150C">
      <w:pPr>
        <w:rPr>
          <w:rFonts w:ascii="Arial" w:hAnsi="Arial" w:cs="Arial"/>
          <w:sz w:val="24"/>
          <w:szCs w:val="24"/>
        </w:rPr>
      </w:pPr>
      <w:r w:rsidRPr="00BB150C">
        <w:rPr>
          <w:rFonts w:ascii="Arial" w:hAnsi="Arial" w:cs="Arial"/>
          <w:sz w:val="24"/>
          <w:szCs w:val="24"/>
        </w:rPr>
        <w:t>Unless capital or operating resources are required, an institution is not required to seek approval to make a change to a minor (or its equivalent), when there is a major (or its equivalent)</w:t>
      </w:r>
      <w:r>
        <w:rPr>
          <w:rFonts w:ascii="Arial" w:hAnsi="Arial" w:cs="Arial"/>
          <w:sz w:val="24"/>
          <w:szCs w:val="24"/>
        </w:rPr>
        <w:t xml:space="preserve"> </w:t>
      </w:r>
      <w:r w:rsidRPr="00BB150C">
        <w:rPr>
          <w:rFonts w:ascii="Arial" w:hAnsi="Arial" w:cs="Arial"/>
          <w:sz w:val="24"/>
          <w:szCs w:val="24"/>
        </w:rPr>
        <w:t>offered in the same program of study.</w:t>
      </w:r>
    </w:p>
    <w:p w:rsidR="00021B67" w:rsidRPr="004F635B" w:rsidRDefault="00021B67">
      <w:pPr>
        <w:rPr>
          <w:rFonts w:ascii="Arial" w:hAnsi="Arial" w:cs="Arial"/>
          <w:sz w:val="24"/>
          <w:szCs w:val="24"/>
        </w:rPr>
      </w:pPr>
    </w:p>
    <w:p w:rsidR="00A52010" w:rsidRDefault="00A52010">
      <w:pPr>
        <w:rPr>
          <w:rFonts w:ascii="Arial" w:hAnsi="Arial" w:cs="Arial"/>
          <w:b/>
          <w:sz w:val="24"/>
          <w:szCs w:val="24"/>
        </w:rPr>
      </w:pPr>
    </w:p>
    <w:p w:rsidR="004F635B" w:rsidRPr="004F635B" w:rsidRDefault="004F635B">
      <w:pPr>
        <w:rPr>
          <w:rFonts w:ascii="Arial" w:hAnsi="Arial" w:cs="Arial"/>
          <w:b/>
          <w:sz w:val="24"/>
          <w:szCs w:val="24"/>
        </w:rPr>
      </w:pPr>
      <w:r w:rsidRPr="004F635B">
        <w:rPr>
          <w:rFonts w:ascii="Arial" w:hAnsi="Arial" w:cs="Arial"/>
          <w:b/>
          <w:sz w:val="24"/>
          <w:szCs w:val="24"/>
        </w:rPr>
        <w:t>Programs of Study Approval Forms</w:t>
      </w:r>
    </w:p>
    <w:p w:rsidR="00A14A78" w:rsidRDefault="00A14A78" w:rsidP="00964EBF">
      <w:pPr>
        <w:rPr>
          <w:rFonts w:ascii="Arial" w:hAnsi="Arial" w:cs="Arial"/>
          <w:sz w:val="24"/>
          <w:szCs w:val="24"/>
        </w:rPr>
      </w:pPr>
      <w:r w:rsidRPr="004F635B">
        <w:rPr>
          <w:rFonts w:ascii="Arial" w:hAnsi="Arial" w:cs="Arial"/>
          <w:sz w:val="24"/>
          <w:szCs w:val="24"/>
        </w:rPr>
        <w:t>The department has developed four distinct forms to be used for the submission of various program proposals</w:t>
      </w:r>
      <w:r w:rsidR="00964EBF">
        <w:rPr>
          <w:rFonts w:ascii="Arial" w:hAnsi="Arial" w:cs="Arial"/>
          <w:sz w:val="24"/>
          <w:szCs w:val="24"/>
        </w:rPr>
        <w:t xml:space="preserve">; </w:t>
      </w:r>
      <w:r w:rsidRPr="00964EBF">
        <w:rPr>
          <w:rFonts w:ascii="Arial" w:hAnsi="Arial" w:cs="Arial"/>
          <w:sz w:val="24"/>
          <w:szCs w:val="24"/>
        </w:rPr>
        <w:t>New Program Application</w:t>
      </w:r>
      <w:r w:rsidR="00964EBF">
        <w:rPr>
          <w:rFonts w:ascii="Arial" w:hAnsi="Arial" w:cs="Arial"/>
          <w:sz w:val="24"/>
          <w:szCs w:val="24"/>
        </w:rPr>
        <w:t xml:space="preserve">, </w:t>
      </w:r>
      <w:r w:rsidRPr="00964EBF">
        <w:rPr>
          <w:rFonts w:ascii="Arial" w:hAnsi="Arial" w:cs="Arial"/>
          <w:sz w:val="24"/>
          <w:szCs w:val="24"/>
        </w:rPr>
        <w:t>Significant Modification Application</w:t>
      </w:r>
      <w:r w:rsidR="00964EBF">
        <w:rPr>
          <w:rFonts w:ascii="Arial" w:hAnsi="Arial" w:cs="Arial"/>
          <w:sz w:val="24"/>
          <w:szCs w:val="24"/>
        </w:rPr>
        <w:t xml:space="preserve">, </w:t>
      </w:r>
      <w:r w:rsidRPr="00964EBF">
        <w:rPr>
          <w:rFonts w:ascii="Arial" w:hAnsi="Arial" w:cs="Arial"/>
          <w:sz w:val="24"/>
          <w:szCs w:val="24"/>
        </w:rPr>
        <w:t>Temporary Cessation Application</w:t>
      </w:r>
      <w:r w:rsidR="00964EBF">
        <w:rPr>
          <w:rFonts w:ascii="Arial" w:hAnsi="Arial" w:cs="Arial"/>
          <w:sz w:val="24"/>
          <w:szCs w:val="24"/>
        </w:rPr>
        <w:t xml:space="preserve">, </w:t>
      </w:r>
      <w:r w:rsidR="00964EBF" w:rsidRPr="00964EBF">
        <w:rPr>
          <w:rFonts w:ascii="Arial" w:hAnsi="Arial" w:cs="Arial"/>
          <w:sz w:val="24"/>
          <w:szCs w:val="24"/>
        </w:rPr>
        <w:t>and Permanent</w:t>
      </w:r>
      <w:r w:rsidRPr="00964EBF">
        <w:rPr>
          <w:rFonts w:ascii="Arial" w:hAnsi="Arial" w:cs="Arial"/>
          <w:sz w:val="24"/>
          <w:szCs w:val="24"/>
        </w:rPr>
        <w:t xml:space="preserve"> Cessation Application</w:t>
      </w:r>
      <w:r w:rsidR="00964EBF">
        <w:rPr>
          <w:rFonts w:ascii="Arial" w:hAnsi="Arial" w:cs="Arial"/>
          <w:sz w:val="24"/>
          <w:szCs w:val="24"/>
        </w:rPr>
        <w:t>.</w:t>
      </w:r>
    </w:p>
    <w:p w:rsidR="00964EBF" w:rsidRDefault="00964EBF" w:rsidP="00964EBF">
      <w:pPr>
        <w:rPr>
          <w:rFonts w:ascii="Arial" w:hAnsi="Arial" w:cs="Arial"/>
          <w:sz w:val="24"/>
          <w:szCs w:val="24"/>
        </w:rPr>
      </w:pPr>
    </w:p>
    <w:p w:rsidR="00A52010" w:rsidRDefault="00A52010" w:rsidP="00A52010">
      <w:pPr>
        <w:rPr>
          <w:rFonts w:ascii="Arial" w:hAnsi="Arial" w:cs="Arial"/>
          <w:b/>
          <w:sz w:val="24"/>
          <w:szCs w:val="24"/>
        </w:rPr>
      </w:pPr>
    </w:p>
    <w:p w:rsidR="00A52010" w:rsidRDefault="00A52010" w:rsidP="00A52010">
      <w:pPr>
        <w:rPr>
          <w:rFonts w:ascii="Arial" w:hAnsi="Arial" w:cs="Arial"/>
          <w:b/>
          <w:sz w:val="24"/>
          <w:szCs w:val="24"/>
        </w:rPr>
      </w:pPr>
      <w:r w:rsidRPr="002A2942">
        <w:rPr>
          <w:rFonts w:ascii="Arial" w:hAnsi="Arial" w:cs="Arial"/>
          <w:b/>
          <w:sz w:val="24"/>
          <w:szCs w:val="24"/>
        </w:rPr>
        <w:t>Financial Forms</w:t>
      </w:r>
    </w:p>
    <w:p w:rsidR="00A52010" w:rsidRDefault="00A52010" w:rsidP="00A52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university or college seeking new program funding or base grant increase as part of a program proposal must complete a Program</w:t>
      </w:r>
      <w:r w:rsidR="00021B67">
        <w:rPr>
          <w:rFonts w:ascii="Arial" w:hAnsi="Arial" w:cs="Arial"/>
          <w:sz w:val="24"/>
          <w:szCs w:val="24"/>
        </w:rPr>
        <w:t xml:space="preserve">s of Study </w:t>
      </w:r>
      <w:r>
        <w:rPr>
          <w:rFonts w:ascii="Arial" w:hAnsi="Arial" w:cs="Arial"/>
          <w:sz w:val="24"/>
          <w:szCs w:val="24"/>
        </w:rPr>
        <w:t>Financial Form in addition to the appropriate Program of Study Approval Form. The Financial Form and Program of Study Form should be submitted together as one complete packa</w:t>
      </w:r>
      <w:r w:rsidR="00021B67">
        <w:rPr>
          <w:rFonts w:ascii="Arial" w:hAnsi="Arial" w:cs="Arial"/>
          <w:sz w:val="24"/>
          <w:szCs w:val="24"/>
        </w:rPr>
        <w:t>ge to Post-Secondary Education and Labour Market Ou</w:t>
      </w:r>
      <w:bookmarkStart w:id="0" w:name="_GoBack"/>
      <w:bookmarkEnd w:id="0"/>
      <w:r w:rsidR="00021B67">
        <w:rPr>
          <w:rFonts w:ascii="Arial" w:hAnsi="Arial" w:cs="Arial"/>
          <w:sz w:val="24"/>
          <w:szCs w:val="24"/>
        </w:rPr>
        <w:t>tcomes</w:t>
      </w:r>
      <w:r>
        <w:rPr>
          <w:rFonts w:ascii="Arial" w:hAnsi="Arial" w:cs="Arial"/>
          <w:sz w:val="24"/>
          <w:szCs w:val="24"/>
        </w:rPr>
        <w:t xml:space="preserve"> for review and consideration.   </w:t>
      </w:r>
    </w:p>
    <w:p w:rsidR="00A52010" w:rsidRDefault="00A52010" w:rsidP="00A52010">
      <w:pPr>
        <w:rPr>
          <w:rFonts w:ascii="Arial" w:hAnsi="Arial" w:cs="Arial"/>
          <w:b/>
          <w:sz w:val="24"/>
          <w:szCs w:val="24"/>
        </w:rPr>
      </w:pPr>
    </w:p>
    <w:p w:rsidR="00A52010" w:rsidRDefault="00A52010" w:rsidP="00A52010">
      <w:pPr>
        <w:rPr>
          <w:rFonts w:ascii="Arial" w:hAnsi="Arial" w:cs="Arial"/>
          <w:b/>
          <w:sz w:val="24"/>
          <w:szCs w:val="24"/>
        </w:rPr>
      </w:pPr>
    </w:p>
    <w:p w:rsidR="00A52010" w:rsidRDefault="00A52010" w:rsidP="00A52010">
      <w:pPr>
        <w:rPr>
          <w:rFonts w:ascii="Arial" w:hAnsi="Arial" w:cs="Arial"/>
          <w:b/>
          <w:sz w:val="24"/>
          <w:szCs w:val="24"/>
        </w:rPr>
      </w:pPr>
    </w:p>
    <w:p w:rsidR="00A52010" w:rsidRDefault="00A52010" w:rsidP="00A52010">
      <w:pPr>
        <w:rPr>
          <w:rFonts w:ascii="Arial" w:hAnsi="Arial" w:cs="Arial"/>
          <w:b/>
          <w:sz w:val="24"/>
          <w:szCs w:val="24"/>
        </w:rPr>
      </w:pPr>
    </w:p>
    <w:p w:rsidR="00BB150C" w:rsidRDefault="00BB150C" w:rsidP="00A52010">
      <w:pPr>
        <w:rPr>
          <w:rFonts w:ascii="Arial" w:hAnsi="Arial" w:cs="Arial"/>
          <w:b/>
          <w:sz w:val="24"/>
          <w:szCs w:val="24"/>
        </w:rPr>
      </w:pPr>
    </w:p>
    <w:p w:rsidR="00A52010" w:rsidRDefault="00A52010" w:rsidP="00A52010">
      <w:pPr>
        <w:rPr>
          <w:rFonts w:ascii="Arial" w:hAnsi="Arial" w:cs="Arial"/>
          <w:b/>
          <w:sz w:val="24"/>
          <w:szCs w:val="24"/>
        </w:rPr>
      </w:pPr>
    </w:p>
    <w:p w:rsidR="00A52010" w:rsidRDefault="00A52010" w:rsidP="00A520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Considerations</w:t>
      </w:r>
    </w:p>
    <w:p w:rsidR="00A52010" w:rsidRPr="00964EBF" w:rsidRDefault="00A52010" w:rsidP="00A52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Though not required to be submitted by law, </w:t>
      </w:r>
      <w:r w:rsidRPr="00964EB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department typically has regard for how a</w:t>
      </w:r>
      <w:r w:rsidRPr="00964EBF">
        <w:rPr>
          <w:rFonts w:ascii="Arial" w:hAnsi="Arial" w:cs="Arial"/>
          <w:sz w:val="24"/>
          <w:szCs w:val="24"/>
        </w:rPr>
        <w:t xml:space="preserve"> proposal</w:t>
      </w:r>
      <w:r>
        <w:rPr>
          <w:rFonts w:ascii="Arial" w:hAnsi="Arial" w:cs="Arial"/>
          <w:sz w:val="24"/>
          <w:szCs w:val="24"/>
        </w:rPr>
        <w:t>:</w:t>
      </w:r>
    </w:p>
    <w:p w:rsidR="00A52010" w:rsidRPr="00A84C40" w:rsidRDefault="00A52010" w:rsidP="00A84C4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84C40">
        <w:rPr>
          <w:rFonts w:ascii="Arial" w:hAnsi="Arial" w:cs="Arial"/>
          <w:sz w:val="24"/>
          <w:szCs w:val="24"/>
        </w:rPr>
        <w:t>addresses and responds to existing and anticipated post-secondary learning needs of students;</w:t>
      </w:r>
    </w:p>
    <w:p w:rsidR="00A52010" w:rsidRPr="00A84C40" w:rsidRDefault="00A52010" w:rsidP="00A84C4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84C40">
        <w:rPr>
          <w:rFonts w:ascii="Arial" w:hAnsi="Arial" w:cs="Arial"/>
          <w:sz w:val="24"/>
          <w:szCs w:val="24"/>
        </w:rPr>
        <w:t>aligns with the government's direction and priorities for government support;</w:t>
      </w:r>
    </w:p>
    <w:p w:rsidR="00A52010" w:rsidRPr="00A84C40" w:rsidRDefault="00A52010" w:rsidP="00A84C4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84C40">
        <w:rPr>
          <w:rFonts w:ascii="Arial" w:hAnsi="Arial" w:cs="Arial"/>
          <w:sz w:val="24"/>
          <w:szCs w:val="24"/>
        </w:rPr>
        <w:t>aligns with the mandate of the university or college;</w:t>
      </w:r>
    </w:p>
    <w:p w:rsidR="00A52010" w:rsidRPr="00A84C40" w:rsidRDefault="00A52010" w:rsidP="00A84C4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84C40">
        <w:rPr>
          <w:rFonts w:ascii="Arial" w:hAnsi="Arial" w:cs="Arial"/>
          <w:sz w:val="24"/>
          <w:szCs w:val="24"/>
        </w:rPr>
        <w:t>addresses issues identified in evaluations, if any;</w:t>
      </w:r>
    </w:p>
    <w:p w:rsidR="00A52010" w:rsidRPr="00A84C40" w:rsidRDefault="00A52010" w:rsidP="00A84C4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84C40">
        <w:rPr>
          <w:rFonts w:ascii="Arial" w:hAnsi="Arial" w:cs="Arial"/>
          <w:sz w:val="24"/>
          <w:szCs w:val="24"/>
        </w:rPr>
        <w:t>supports appropriate quality assurance processes and procedures for the program, as it is proposed to be changed;</w:t>
      </w:r>
    </w:p>
    <w:p w:rsidR="00A52010" w:rsidRPr="00A84C40" w:rsidRDefault="00A52010" w:rsidP="00A84C4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84C40">
        <w:rPr>
          <w:rFonts w:ascii="Arial" w:hAnsi="Arial" w:cs="Arial"/>
          <w:sz w:val="24"/>
          <w:szCs w:val="24"/>
        </w:rPr>
        <w:t>impacts on affordability and accessibility;</w:t>
      </w:r>
    </w:p>
    <w:p w:rsidR="00A52010" w:rsidRPr="00A84C40" w:rsidRDefault="00A52010" w:rsidP="00A84C4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84C40">
        <w:rPr>
          <w:rFonts w:ascii="Arial" w:hAnsi="Arial" w:cs="Arial"/>
          <w:sz w:val="24"/>
          <w:szCs w:val="24"/>
        </w:rPr>
        <w:t>impacts on the coordination and integration within Manitoba's post-secondary education and advanced learning system;</w:t>
      </w:r>
    </w:p>
    <w:p w:rsidR="00A52010" w:rsidRPr="00A84C40" w:rsidRDefault="00A52010" w:rsidP="00A84C4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84C40">
        <w:rPr>
          <w:rFonts w:ascii="Arial" w:hAnsi="Arial" w:cs="Arial"/>
          <w:sz w:val="24"/>
          <w:szCs w:val="24"/>
        </w:rPr>
        <w:t>strengthens the ability of the system to meet and respond to Manitoba's labour market opportunities;</w:t>
      </w:r>
    </w:p>
    <w:p w:rsidR="00A52010" w:rsidRPr="00A84C40" w:rsidRDefault="00A52010" w:rsidP="00A84C4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84C40">
        <w:rPr>
          <w:rFonts w:ascii="Arial" w:hAnsi="Arial" w:cs="Arial"/>
          <w:sz w:val="24"/>
          <w:szCs w:val="24"/>
        </w:rPr>
        <w:t>impacts upon previous graduates of the program, if the proposal is to cease to provide the program;</w:t>
      </w:r>
    </w:p>
    <w:p w:rsidR="00A52010" w:rsidRPr="00A84C40" w:rsidRDefault="00A52010" w:rsidP="00A84C4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84C40">
        <w:rPr>
          <w:rFonts w:ascii="Arial" w:hAnsi="Arial" w:cs="Arial"/>
          <w:sz w:val="24"/>
          <w:szCs w:val="24"/>
        </w:rPr>
        <w:t>demonstrates operational sustainability; and</w:t>
      </w:r>
    </w:p>
    <w:p w:rsidR="00A52010" w:rsidRPr="00A84C40" w:rsidRDefault="00A52010" w:rsidP="00A84C4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A84C40">
        <w:rPr>
          <w:rFonts w:ascii="Arial" w:hAnsi="Arial" w:cs="Arial"/>
          <w:sz w:val="24"/>
          <w:szCs w:val="24"/>
        </w:rPr>
        <w:t>generally</w:t>
      </w:r>
      <w:proofErr w:type="gramEnd"/>
      <w:r w:rsidRPr="00A84C40">
        <w:rPr>
          <w:rFonts w:ascii="Arial" w:hAnsi="Arial" w:cs="Arial"/>
          <w:sz w:val="24"/>
          <w:szCs w:val="24"/>
        </w:rPr>
        <w:t>, addresses the social, economic and cultural needs in Manitoba.</w:t>
      </w:r>
    </w:p>
    <w:p w:rsidR="00A52010" w:rsidRDefault="00A52010">
      <w:pPr>
        <w:rPr>
          <w:rFonts w:ascii="Arial" w:hAnsi="Arial" w:cs="Arial"/>
          <w:b/>
          <w:sz w:val="24"/>
          <w:szCs w:val="24"/>
        </w:rPr>
      </w:pPr>
    </w:p>
    <w:p w:rsidR="00964EBF" w:rsidRDefault="00964EBF">
      <w:pPr>
        <w:rPr>
          <w:rFonts w:ascii="Arial" w:hAnsi="Arial" w:cs="Arial"/>
          <w:b/>
          <w:sz w:val="24"/>
          <w:szCs w:val="24"/>
        </w:rPr>
      </w:pPr>
      <w:r w:rsidRPr="00964EBF">
        <w:rPr>
          <w:rFonts w:ascii="Arial" w:hAnsi="Arial" w:cs="Arial"/>
          <w:b/>
          <w:sz w:val="24"/>
          <w:szCs w:val="24"/>
        </w:rPr>
        <w:t>Form Selection Chart</w:t>
      </w:r>
    </w:p>
    <w:p w:rsidR="00964EBF" w:rsidRPr="00A52010" w:rsidRDefault="00964EBF">
      <w:pPr>
        <w:rPr>
          <w:rFonts w:ascii="Arial" w:hAnsi="Arial" w:cs="Arial"/>
          <w:i/>
          <w:sz w:val="20"/>
          <w:szCs w:val="20"/>
        </w:rPr>
      </w:pPr>
      <w:r w:rsidRPr="00A52010">
        <w:rPr>
          <w:rFonts w:ascii="Arial" w:hAnsi="Arial" w:cs="Arial"/>
          <w:i/>
          <w:sz w:val="20"/>
          <w:szCs w:val="20"/>
        </w:rPr>
        <w:t>Use the following chart to determine which form should be used based on the nature of the proposal being submitted.</w:t>
      </w: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2729"/>
        <w:gridCol w:w="2729"/>
        <w:gridCol w:w="2729"/>
        <w:gridCol w:w="2729"/>
      </w:tblGrid>
      <w:tr w:rsidR="002A2942" w:rsidTr="00A52010">
        <w:tc>
          <w:tcPr>
            <w:tcW w:w="2729" w:type="dxa"/>
            <w:shd w:val="clear" w:color="auto" w:fill="7F7F7F" w:themeFill="text1" w:themeFillTint="80"/>
          </w:tcPr>
          <w:p w:rsidR="002A2942" w:rsidRPr="00A52010" w:rsidRDefault="00A52010" w:rsidP="004F635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New Program</w:t>
            </w:r>
          </w:p>
        </w:tc>
        <w:tc>
          <w:tcPr>
            <w:tcW w:w="2729" w:type="dxa"/>
            <w:shd w:val="clear" w:color="auto" w:fill="7F7F7F" w:themeFill="text1" w:themeFillTint="80"/>
          </w:tcPr>
          <w:p w:rsidR="002A2942" w:rsidRPr="00A52010" w:rsidRDefault="002A2942" w:rsidP="004F635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2010">
              <w:rPr>
                <w:rFonts w:ascii="Arial" w:hAnsi="Arial" w:cs="Arial"/>
                <w:b/>
                <w:color w:val="FFFFFF" w:themeColor="background1"/>
              </w:rPr>
              <w:t>Significant Modification</w:t>
            </w:r>
          </w:p>
        </w:tc>
        <w:tc>
          <w:tcPr>
            <w:tcW w:w="2729" w:type="dxa"/>
            <w:shd w:val="clear" w:color="auto" w:fill="7F7F7F" w:themeFill="text1" w:themeFillTint="80"/>
          </w:tcPr>
          <w:p w:rsidR="002A2942" w:rsidRPr="00A52010" w:rsidRDefault="002A2942" w:rsidP="004F635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2010">
              <w:rPr>
                <w:rFonts w:ascii="Arial" w:hAnsi="Arial" w:cs="Arial"/>
                <w:b/>
                <w:color w:val="FFFFFF" w:themeColor="background1"/>
              </w:rPr>
              <w:t>Temporary Cessation</w:t>
            </w:r>
          </w:p>
        </w:tc>
        <w:tc>
          <w:tcPr>
            <w:tcW w:w="2729" w:type="dxa"/>
            <w:shd w:val="clear" w:color="auto" w:fill="7F7F7F" w:themeFill="text1" w:themeFillTint="80"/>
          </w:tcPr>
          <w:p w:rsidR="002A2942" w:rsidRPr="00A52010" w:rsidRDefault="002A2942" w:rsidP="004F635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2010">
              <w:rPr>
                <w:rFonts w:ascii="Arial" w:hAnsi="Arial" w:cs="Arial"/>
                <w:b/>
                <w:color w:val="FFFFFF" w:themeColor="background1"/>
              </w:rPr>
              <w:t>Permanent Cessation</w:t>
            </w:r>
          </w:p>
        </w:tc>
      </w:tr>
      <w:tr w:rsidR="002A2942" w:rsidTr="00A52010">
        <w:trPr>
          <w:trHeight w:val="6446"/>
        </w:trPr>
        <w:tc>
          <w:tcPr>
            <w:tcW w:w="2729" w:type="dxa"/>
          </w:tcPr>
          <w:p w:rsidR="002A2942" w:rsidRPr="004F635B" w:rsidRDefault="002A2942" w:rsidP="002A2942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4F635B">
              <w:rPr>
                <w:rFonts w:ascii="Arial" w:hAnsi="Arial" w:cs="Arial"/>
                <w:i/>
                <w:sz w:val="20"/>
                <w:szCs w:val="20"/>
              </w:rPr>
              <w:t>Establishing a new degree program</w:t>
            </w:r>
          </w:p>
          <w:p w:rsidR="002A2942" w:rsidRPr="004F635B" w:rsidRDefault="002A2942" w:rsidP="002A294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A2942" w:rsidRPr="004F635B" w:rsidRDefault="002A2942" w:rsidP="002A2942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4F635B">
              <w:rPr>
                <w:rFonts w:ascii="Arial" w:hAnsi="Arial" w:cs="Arial"/>
                <w:i/>
                <w:sz w:val="20"/>
                <w:szCs w:val="20"/>
              </w:rPr>
              <w:t>Establishing a program that requires government funding support</w:t>
            </w:r>
          </w:p>
        </w:tc>
        <w:tc>
          <w:tcPr>
            <w:tcW w:w="2729" w:type="dxa"/>
          </w:tcPr>
          <w:p w:rsidR="002A2942" w:rsidRPr="004F635B" w:rsidRDefault="00841C49" w:rsidP="002A29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0" w:hanging="284"/>
              <w:rPr>
                <w:rFonts w:ascii="BookmanITCLtBT" w:hAnsi="BookmanITCLtBT" w:cs="BookmanITCLtBT"/>
                <w:i/>
                <w:sz w:val="19"/>
                <w:szCs w:val="19"/>
              </w:rPr>
            </w:pPr>
            <w:r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>Changing</w:t>
            </w:r>
            <w:r w:rsidR="002A2942"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 xml:space="preserve"> the site or sites, or the number of sites, from which a program is offered</w:t>
            </w:r>
          </w:p>
          <w:p w:rsidR="002A2942" w:rsidRPr="004F635B" w:rsidRDefault="002A2942" w:rsidP="002A2942">
            <w:pPr>
              <w:autoSpaceDE w:val="0"/>
              <w:autoSpaceDN w:val="0"/>
              <w:adjustRightInd w:val="0"/>
              <w:ind w:left="16"/>
              <w:rPr>
                <w:rFonts w:ascii="BookmanITCLtBT" w:hAnsi="BookmanITCLtBT" w:cs="BookmanITCLtBT"/>
                <w:i/>
                <w:sz w:val="19"/>
                <w:szCs w:val="19"/>
              </w:rPr>
            </w:pPr>
          </w:p>
          <w:p w:rsidR="002A2942" w:rsidRPr="004F635B" w:rsidRDefault="00841C49" w:rsidP="002A29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0" w:hanging="284"/>
              <w:rPr>
                <w:rFonts w:ascii="BookmanITCLtBT" w:hAnsi="BookmanITCLtBT" w:cs="BookmanITCLtBT"/>
                <w:i/>
                <w:sz w:val="19"/>
                <w:szCs w:val="19"/>
              </w:rPr>
            </w:pPr>
            <w:r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>Changing</w:t>
            </w:r>
            <w:r w:rsidR="002A2942"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 xml:space="preserve"> the capacity of a program, in terms of the seats within the program</w:t>
            </w:r>
          </w:p>
          <w:p w:rsidR="002A2942" w:rsidRPr="004F635B" w:rsidRDefault="002A2942" w:rsidP="002A2942">
            <w:pPr>
              <w:pStyle w:val="ListParagraph"/>
              <w:rPr>
                <w:rFonts w:ascii="BookmanITCLtBT" w:hAnsi="BookmanITCLtBT" w:cs="BookmanITCLtBT"/>
                <w:i/>
                <w:sz w:val="19"/>
                <w:szCs w:val="19"/>
              </w:rPr>
            </w:pPr>
          </w:p>
          <w:p w:rsidR="002A2942" w:rsidRPr="004F635B" w:rsidRDefault="00841C49" w:rsidP="002A29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0" w:hanging="284"/>
              <w:rPr>
                <w:rFonts w:ascii="BookmanITCLtBT" w:hAnsi="BookmanITCLtBT" w:cs="BookmanITCLtBT"/>
                <w:i/>
                <w:sz w:val="19"/>
                <w:szCs w:val="19"/>
              </w:rPr>
            </w:pPr>
            <w:r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>Changing</w:t>
            </w:r>
            <w:r w:rsidR="002A2942"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 xml:space="preserve"> the time reasonably necessary for a student to complete the program</w:t>
            </w:r>
          </w:p>
          <w:p w:rsidR="002A2942" w:rsidRPr="004F635B" w:rsidRDefault="002A2942" w:rsidP="002A2942">
            <w:pPr>
              <w:pStyle w:val="ListParagraph"/>
              <w:rPr>
                <w:rFonts w:ascii="BookmanITCLtBT" w:hAnsi="BookmanITCLtBT" w:cs="BookmanITCLtBT"/>
                <w:i/>
                <w:sz w:val="19"/>
                <w:szCs w:val="19"/>
              </w:rPr>
            </w:pPr>
          </w:p>
          <w:p w:rsidR="002A2942" w:rsidRPr="004F635B" w:rsidRDefault="00841C49" w:rsidP="002A29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0" w:hanging="284"/>
              <w:rPr>
                <w:rFonts w:ascii="BookmanITCLtBT" w:hAnsi="BookmanITCLtBT" w:cs="BookmanITCLtBT"/>
                <w:i/>
                <w:sz w:val="19"/>
                <w:szCs w:val="19"/>
              </w:rPr>
            </w:pPr>
            <w:r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>Changing</w:t>
            </w:r>
            <w:r w:rsidR="002A2942"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 xml:space="preserve"> to the mode of delivery of the program, being online or in-person</w:t>
            </w:r>
          </w:p>
          <w:p w:rsidR="002A2942" w:rsidRPr="004F635B" w:rsidRDefault="002A2942" w:rsidP="002A2942">
            <w:pPr>
              <w:pStyle w:val="ListParagraph"/>
              <w:rPr>
                <w:rFonts w:ascii="BookmanITCLtBT" w:hAnsi="BookmanITCLtBT" w:cs="BookmanITCLtBT"/>
                <w:i/>
                <w:sz w:val="19"/>
                <w:szCs w:val="19"/>
              </w:rPr>
            </w:pPr>
          </w:p>
          <w:p w:rsidR="002A2942" w:rsidRPr="004F635B" w:rsidRDefault="00841C49" w:rsidP="002A29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0" w:hanging="284"/>
              <w:rPr>
                <w:rFonts w:ascii="BookmanITCLtBT" w:hAnsi="BookmanITCLtBT" w:cs="BookmanITCLtBT"/>
                <w:i/>
                <w:sz w:val="19"/>
                <w:szCs w:val="19"/>
              </w:rPr>
            </w:pPr>
            <w:r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>Changing</w:t>
            </w:r>
            <w:r w:rsidR="002A2942"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 xml:space="preserve"> the program being, or not being offered as a joint program</w:t>
            </w:r>
          </w:p>
          <w:p w:rsidR="002A2942" w:rsidRPr="004F635B" w:rsidRDefault="002A2942" w:rsidP="002A2942">
            <w:pPr>
              <w:pStyle w:val="ListParagraph"/>
              <w:rPr>
                <w:rFonts w:ascii="BookmanITCLtBT" w:hAnsi="BookmanITCLtBT" w:cs="BookmanITCLtBT"/>
                <w:i/>
                <w:sz w:val="19"/>
                <w:szCs w:val="19"/>
              </w:rPr>
            </w:pPr>
          </w:p>
          <w:p w:rsidR="002A2942" w:rsidRPr="004F635B" w:rsidRDefault="00841C49" w:rsidP="002A29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0" w:hanging="284"/>
              <w:rPr>
                <w:rFonts w:ascii="BookmanITCLtBT" w:hAnsi="BookmanITCLtBT" w:cs="BookmanITCLtBT"/>
                <w:i/>
                <w:sz w:val="19"/>
                <w:szCs w:val="19"/>
              </w:rPr>
            </w:pPr>
            <w:r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>Changing</w:t>
            </w:r>
            <w:r w:rsidR="002A2942"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 xml:space="preserve"> the credential conferred</w:t>
            </w:r>
          </w:p>
          <w:p w:rsidR="002A2942" w:rsidRPr="004F635B" w:rsidRDefault="002A2942" w:rsidP="002A2942">
            <w:pPr>
              <w:pStyle w:val="ListParagraph"/>
              <w:rPr>
                <w:rFonts w:ascii="BookmanITCLtBT" w:hAnsi="BookmanITCLtBT" w:cs="BookmanITCLtBT"/>
                <w:i/>
                <w:sz w:val="19"/>
                <w:szCs w:val="19"/>
              </w:rPr>
            </w:pPr>
          </w:p>
          <w:p w:rsidR="002A2942" w:rsidRPr="004F635B" w:rsidRDefault="00841C49" w:rsidP="002A29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0" w:hanging="284"/>
              <w:rPr>
                <w:rFonts w:ascii="BookmanITCLtBT" w:hAnsi="BookmanITCLtBT" w:cs="BookmanITCLtBT"/>
                <w:i/>
                <w:sz w:val="19"/>
                <w:szCs w:val="19"/>
              </w:rPr>
            </w:pPr>
            <w:r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>Changing</w:t>
            </w:r>
            <w:r w:rsidR="002A2942" w:rsidRPr="004F635B">
              <w:rPr>
                <w:rFonts w:ascii="BookmanITCLtBT" w:hAnsi="BookmanITCLtBT" w:cs="BookmanITCLtBT"/>
                <w:i/>
                <w:sz w:val="19"/>
                <w:szCs w:val="19"/>
              </w:rPr>
              <w:t xml:space="preserve"> to the capital or operating resources needed to provide the program </w:t>
            </w:r>
          </w:p>
          <w:p w:rsidR="002A2942" w:rsidRPr="004F635B" w:rsidRDefault="002A2942" w:rsidP="005966D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29" w:type="dxa"/>
          </w:tcPr>
          <w:p w:rsidR="002A2942" w:rsidRPr="004F635B" w:rsidRDefault="00A14A78" w:rsidP="00A14A78">
            <w:pPr>
              <w:pStyle w:val="ListParagraph"/>
              <w:numPr>
                <w:ilvl w:val="0"/>
                <w:numId w:val="8"/>
              </w:numPr>
              <w:ind w:left="315" w:hanging="283"/>
              <w:rPr>
                <w:rFonts w:ascii="Arial" w:hAnsi="Arial" w:cs="Arial"/>
                <w:i/>
                <w:sz w:val="20"/>
                <w:szCs w:val="20"/>
              </w:rPr>
            </w:pPr>
            <w:r w:rsidRPr="004F635B">
              <w:rPr>
                <w:rFonts w:ascii="Arial" w:hAnsi="Arial" w:cs="Arial"/>
                <w:i/>
                <w:sz w:val="20"/>
                <w:szCs w:val="20"/>
              </w:rPr>
              <w:t>Ceasing enrolment in a program for one or more academic years with the intent of reinstating the program following the proposed cessation period</w:t>
            </w:r>
          </w:p>
          <w:p w:rsidR="00A14A78" w:rsidRPr="004F635B" w:rsidRDefault="00A14A78" w:rsidP="00A14A78">
            <w:pPr>
              <w:ind w:left="32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14A78" w:rsidRPr="004F635B" w:rsidRDefault="00A14A78" w:rsidP="00A14A78">
            <w:pPr>
              <w:pStyle w:val="ListParagraph"/>
              <w:numPr>
                <w:ilvl w:val="0"/>
                <w:numId w:val="8"/>
              </w:numPr>
              <w:ind w:left="315" w:hanging="283"/>
              <w:rPr>
                <w:rFonts w:ascii="Arial" w:hAnsi="Arial" w:cs="Arial"/>
                <w:i/>
                <w:sz w:val="20"/>
                <w:szCs w:val="20"/>
              </w:rPr>
            </w:pPr>
            <w:r w:rsidRPr="004F635B">
              <w:rPr>
                <w:rFonts w:ascii="Arial" w:hAnsi="Arial" w:cs="Arial"/>
                <w:i/>
                <w:sz w:val="20"/>
                <w:szCs w:val="20"/>
              </w:rPr>
              <w:t xml:space="preserve">Ceasing an intake (i.e. Fall/Winter) in a program but continuing with remaining intakes of the same program.  </w:t>
            </w:r>
          </w:p>
          <w:p w:rsidR="00A14A78" w:rsidRPr="004F635B" w:rsidRDefault="00A14A78" w:rsidP="00A14A78">
            <w:pPr>
              <w:pStyle w:val="ListParagraph"/>
              <w:ind w:left="315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29" w:type="dxa"/>
          </w:tcPr>
          <w:p w:rsidR="002A2942" w:rsidRPr="004F635B" w:rsidRDefault="00A14A78" w:rsidP="00A14A78">
            <w:pPr>
              <w:pStyle w:val="ListParagraph"/>
              <w:numPr>
                <w:ilvl w:val="0"/>
                <w:numId w:val="8"/>
              </w:numPr>
              <w:ind w:left="331" w:hanging="283"/>
              <w:rPr>
                <w:rFonts w:ascii="Arial" w:hAnsi="Arial" w:cs="Arial"/>
                <w:i/>
                <w:sz w:val="20"/>
                <w:szCs w:val="20"/>
              </w:rPr>
            </w:pPr>
            <w:r w:rsidRPr="004F635B">
              <w:rPr>
                <w:rFonts w:ascii="Arial" w:hAnsi="Arial" w:cs="Arial"/>
                <w:i/>
                <w:sz w:val="20"/>
                <w:szCs w:val="20"/>
              </w:rPr>
              <w:t xml:space="preserve">Ceasing to offer a program on a permanent basis with no intent or plan for future reinstatement.  </w:t>
            </w:r>
          </w:p>
        </w:tc>
      </w:tr>
    </w:tbl>
    <w:p w:rsidR="00A14A78" w:rsidRPr="00A52010" w:rsidRDefault="00A14A78" w:rsidP="00A52010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sectPr w:rsidR="00A14A78" w:rsidRPr="00A52010" w:rsidSect="00A52010">
      <w:pgSz w:w="12240" w:h="15840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ITCLt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705C0"/>
    <w:multiLevelType w:val="hybridMultilevel"/>
    <w:tmpl w:val="84CCFD1E"/>
    <w:lvl w:ilvl="0" w:tplc="37366052">
      <w:start w:val="1"/>
      <w:numFmt w:val="lowerRoman"/>
      <w:lvlText w:val="(%1)"/>
      <w:lvlJc w:val="left"/>
      <w:pPr>
        <w:ind w:left="172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444" w:hanging="360"/>
      </w:pPr>
    </w:lvl>
    <w:lvl w:ilvl="2" w:tplc="1009001B" w:tentative="1">
      <w:start w:val="1"/>
      <w:numFmt w:val="lowerRoman"/>
      <w:lvlText w:val="%3."/>
      <w:lvlJc w:val="right"/>
      <w:pPr>
        <w:ind w:left="3164" w:hanging="180"/>
      </w:pPr>
    </w:lvl>
    <w:lvl w:ilvl="3" w:tplc="1009000F" w:tentative="1">
      <w:start w:val="1"/>
      <w:numFmt w:val="decimal"/>
      <w:lvlText w:val="%4."/>
      <w:lvlJc w:val="left"/>
      <w:pPr>
        <w:ind w:left="3884" w:hanging="360"/>
      </w:pPr>
    </w:lvl>
    <w:lvl w:ilvl="4" w:tplc="10090019" w:tentative="1">
      <w:start w:val="1"/>
      <w:numFmt w:val="lowerLetter"/>
      <w:lvlText w:val="%5."/>
      <w:lvlJc w:val="left"/>
      <w:pPr>
        <w:ind w:left="4604" w:hanging="360"/>
      </w:pPr>
    </w:lvl>
    <w:lvl w:ilvl="5" w:tplc="1009001B" w:tentative="1">
      <w:start w:val="1"/>
      <w:numFmt w:val="lowerRoman"/>
      <w:lvlText w:val="%6."/>
      <w:lvlJc w:val="right"/>
      <w:pPr>
        <w:ind w:left="5324" w:hanging="180"/>
      </w:pPr>
    </w:lvl>
    <w:lvl w:ilvl="6" w:tplc="1009000F" w:tentative="1">
      <w:start w:val="1"/>
      <w:numFmt w:val="decimal"/>
      <w:lvlText w:val="%7."/>
      <w:lvlJc w:val="left"/>
      <w:pPr>
        <w:ind w:left="6044" w:hanging="360"/>
      </w:pPr>
    </w:lvl>
    <w:lvl w:ilvl="7" w:tplc="10090019" w:tentative="1">
      <w:start w:val="1"/>
      <w:numFmt w:val="lowerLetter"/>
      <w:lvlText w:val="%8."/>
      <w:lvlJc w:val="left"/>
      <w:pPr>
        <w:ind w:left="6764" w:hanging="360"/>
      </w:pPr>
    </w:lvl>
    <w:lvl w:ilvl="8" w:tplc="10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36080924"/>
    <w:multiLevelType w:val="hybridMultilevel"/>
    <w:tmpl w:val="BAD61BBE"/>
    <w:lvl w:ilvl="0" w:tplc="1009000F">
      <w:start w:val="1"/>
      <w:numFmt w:val="decimal"/>
      <w:lvlText w:val="%1."/>
      <w:lvlJc w:val="left"/>
      <w:pPr>
        <w:ind w:left="840" w:hanging="360"/>
      </w:pPr>
    </w:lvl>
    <w:lvl w:ilvl="1" w:tplc="10090019" w:tentative="1">
      <w:start w:val="1"/>
      <w:numFmt w:val="lowerLetter"/>
      <w:lvlText w:val="%2."/>
      <w:lvlJc w:val="left"/>
      <w:pPr>
        <w:ind w:left="1560" w:hanging="360"/>
      </w:pPr>
    </w:lvl>
    <w:lvl w:ilvl="2" w:tplc="1009001B" w:tentative="1">
      <w:start w:val="1"/>
      <w:numFmt w:val="lowerRoman"/>
      <w:lvlText w:val="%3."/>
      <w:lvlJc w:val="right"/>
      <w:pPr>
        <w:ind w:left="2280" w:hanging="180"/>
      </w:pPr>
    </w:lvl>
    <w:lvl w:ilvl="3" w:tplc="1009000F" w:tentative="1">
      <w:start w:val="1"/>
      <w:numFmt w:val="decimal"/>
      <w:lvlText w:val="%4."/>
      <w:lvlJc w:val="left"/>
      <w:pPr>
        <w:ind w:left="3000" w:hanging="360"/>
      </w:pPr>
    </w:lvl>
    <w:lvl w:ilvl="4" w:tplc="10090019" w:tentative="1">
      <w:start w:val="1"/>
      <w:numFmt w:val="lowerLetter"/>
      <w:lvlText w:val="%5."/>
      <w:lvlJc w:val="left"/>
      <w:pPr>
        <w:ind w:left="3720" w:hanging="360"/>
      </w:pPr>
    </w:lvl>
    <w:lvl w:ilvl="5" w:tplc="1009001B" w:tentative="1">
      <w:start w:val="1"/>
      <w:numFmt w:val="lowerRoman"/>
      <w:lvlText w:val="%6."/>
      <w:lvlJc w:val="right"/>
      <w:pPr>
        <w:ind w:left="4440" w:hanging="180"/>
      </w:pPr>
    </w:lvl>
    <w:lvl w:ilvl="6" w:tplc="1009000F" w:tentative="1">
      <w:start w:val="1"/>
      <w:numFmt w:val="decimal"/>
      <w:lvlText w:val="%7."/>
      <w:lvlJc w:val="left"/>
      <w:pPr>
        <w:ind w:left="5160" w:hanging="360"/>
      </w:pPr>
    </w:lvl>
    <w:lvl w:ilvl="7" w:tplc="10090019" w:tentative="1">
      <w:start w:val="1"/>
      <w:numFmt w:val="lowerLetter"/>
      <w:lvlText w:val="%8."/>
      <w:lvlJc w:val="left"/>
      <w:pPr>
        <w:ind w:left="5880" w:hanging="360"/>
      </w:pPr>
    </w:lvl>
    <w:lvl w:ilvl="8" w:tplc="1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7903FBC"/>
    <w:multiLevelType w:val="hybridMultilevel"/>
    <w:tmpl w:val="F88A81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E0940"/>
    <w:multiLevelType w:val="hybridMultilevel"/>
    <w:tmpl w:val="F66425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3069"/>
    <w:multiLevelType w:val="hybridMultilevel"/>
    <w:tmpl w:val="8EAE4A8E"/>
    <w:lvl w:ilvl="0" w:tplc="AFAE11B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427EFB"/>
    <w:multiLevelType w:val="hybridMultilevel"/>
    <w:tmpl w:val="72246E8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0716C"/>
    <w:multiLevelType w:val="hybridMultilevel"/>
    <w:tmpl w:val="404634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A1095"/>
    <w:multiLevelType w:val="hybridMultilevel"/>
    <w:tmpl w:val="A08C9B2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3483F"/>
    <w:multiLevelType w:val="hybridMultilevel"/>
    <w:tmpl w:val="B5EA63D8"/>
    <w:lvl w:ilvl="0" w:tplc="3736605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7B62"/>
    <w:rsid w:val="00021B67"/>
    <w:rsid w:val="0006064A"/>
    <w:rsid w:val="002A2942"/>
    <w:rsid w:val="00387CF3"/>
    <w:rsid w:val="004F0BFB"/>
    <w:rsid w:val="004F635B"/>
    <w:rsid w:val="00505566"/>
    <w:rsid w:val="005966D9"/>
    <w:rsid w:val="008369E3"/>
    <w:rsid w:val="00841C49"/>
    <w:rsid w:val="0085257F"/>
    <w:rsid w:val="00964EBF"/>
    <w:rsid w:val="009E0FE5"/>
    <w:rsid w:val="009E1911"/>
    <w:rsid w:val="00A14A78"/>
    <w:rsid w:val="00A52010"/>
    <w:rsid w:val="00A84C40"/>
    <w:rsid w:val="00BB150C"/>
    <w:rsid w:val="00C92A0B"/>
    <w:rsid w:val="00D86BD9"/>
    <w:rsid w:val="00D915EB"/>
    <w:rsid w:val="00F625BF"/>
    <w:rsid w:val="00F9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3556"/>
  <w15:docId w15:val="{FA85410C-8DD3-42EF-8261-1429B3AF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62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B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257F"/>
    <w:pPr>
      <w:ind w:left="720"/>
      <w:contextualSpacing/>
    </w:pPr>
  </w:style>
  <w:style w:type="table" w:styleId="TableGrid">
    <w:name w:val="Table Grid"/>
    <w:basedOn w:val="TableNormal"/>
    <w:uiPriority w:val="59"/>
    <w:rsid w:val="002A2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gprairie</dc:creator>
  <cp:lastModifiedBy>Prairie, Grant  (MET)</cp:lastModifiedBy>
  <cp:revision>11</cp:revision>
  <dcterms:created xsi:type="dcterms:W3CDTF">2016-04-12T19:45:00Z</dcterms:created>
  <dcterms:modified xsi:type="dcterms:W3CDTF">2017-11-24T17:27:00Z</dcterms:modified>
</cp:coreProperties>
</file>